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1"/>
        <w:gridCol w:w="1551"/>
        <w:gridCol w:w="830"/>
        <w:gridCol w:w="780"/>
        <w:gridCol w:w="1411"/>
      </w:tblGrid>
      <w:tr w:rsidR="004F4ECF" w:rsidRPr="003439C8" w:rsidTr="004F4ECF">
        <w:trPr>
          <w:trHeight w:val="709"/>
          <w:tblHeader/>
        </w:trPr>
        <w:tc>
          <w:tcPr>
            <w:tcW w:w="9498" w:type="dxa"/>
            <w:gridSpan w:val="6"/>
            <w:vAlign w:val="center"/>
          </w:tcPr>
          <w:p w:rsidR="004F4ECF" w:rsidRPr="003439C8" w:rsidRDefault="004F4ECF" w:rsidP="00040602">
            <w:pPr>
              <w:jc w:val="center"/>
              <w:rPr>
                <w:rFonts w:ascii="Sylfaen" w:eastAsia="標楷體" w:hAnsi="Sylfaen"/>
                <w:b/>
                <w:color w:val="000000"/>
                <w:sz w:val="32"/>
                <w:szCs w:val="32"/>
              </w:rPr>
            </w:pPr>
            <w:r w:rsidRPr="003439C8">
              <w:rPr>
                <w:rFonts w:ascii="Sylfaen" w:eastAsia="標楷體" w:hAnsi="Sylfaen"/>
                <w:b/>
                <w:color w:val="000000"/>
                <w:sz w:val="32"/>
                <w:szCs w:val="32"/>
              </w:rPr>
              <w:t>台灣宅配通股份有限公司</w:t>
            </w:r>
          </w:p>
        </w:tc>
      </w:tr>
      <w:tr w:rsidR="004F4ECF" w:rsidRPr="003439C8" w:rsidTr="004F4ECF">
        <w:trPr>
          <w:trHeight w:val="327"/>
          <w:tblHeader/>
        </w:trPr>
        <w:tc>
          <w:tcPr>
            <w:tcW w:w="1985"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文件類別</w:t>
            </w:r>
          </w:p>
        </w:tc>
        <w:tc>
          <w:tcPr>
            <w:tcW w:w="2941" w:type="dxa"/>
            <w:vAlign w:val="center"/>
          </w:tcPr>
          <w:p w:rsidR="004F4ECF" w:rsidRPr="003439C8" w:rsidRDefault="004F4ECF" w:rsidP="00040602">
            <w:pPr>
              <w:rPr>
                <w:rFonts w:ascii="Sylfaen" w:eastAsia="標楷體" w:hAnsi="Sylfaen"/>
                <w:color w:val="000000"/>
              </w:rPr>
            </w:pPr>
          </w:p>
        </w:tc>
        <w:tc>
          <w:tcPr>
            <w:tcW w:w="1551"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頁</w:t>
            </w:r>
            <w:r w:rsidRPr="003439C8">
              <w:rPr>
                <w:rFonts w:ascii="Sylfaen" w:eastAsia="標楷體" w:hAnsi="Sylfaen"/>
                <w:color w:val="000000"/>
              </w:rPr>
              <w:t xml:space="preserve">   </w:t>
            </w:r>
            <w:r w:rsidRPr="003439C8">
              <w:rPr>
                <w:rFonts w:ascii="Sylfaen" w:eastAsia="標楷體" w:hAnsi="Sylfaen"/>
                <w:color w:val="000000"/>
              </w:rPr>
              <w:t>次</w:t>
            </w:r>
          </w:p>
        </w:tc>
        <w:tc>
          <w:tcPr>
            <w:tcW w:w="830" w:type="dxa"/>
            <w:vAlign w:val="center"/>
          </w:tcPr>
          <w:p w:rsidR="004F4ECF" w:rsidRPr="003439C8" w:rsidRDefault="004F4ECF" w:rsidP="00040602">
            <w:pPr>
              <w:jc w:val="center"/>
              <w:rPr>
                <w:rFonts w:ascii="Sylfaen" w:eastAsia="標楷體" w:hAnsi="Sylfaen"/>
                <w:color w:val="000000"/>
              </w:rPr>
            </w:pPr>
          </w:p>
        </w:tc>
        <w:tc>
          <w:tcPr>
            <w:tcW w:w="780"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版次</w:t>
            </w:r>
          </w:p>
        </w:tc>
        <w:tc>
          <w:tcPr>
            <w:tcW w:w="1411" w:type="dxa"/>
            <w:vAlign w:val="center"/>
          </w:tcPr>
          <w:p w:rsidR="004F4ECF" w:rsidRPr="003439C8" w:rsidRDefault="004A4C67" w:rsidP="00040602">
            <w:pPr>
              <w:jc w:val="center"/>
              <w:rPr>
                <w:rFonts w:ascii="Sylfaen" w:eastAsia="標楷體" w:hAnsi="Sylfaen"/>
                <w:color w:val="000000"/>
              </w:rPr>
            </w:pPr>
            <w:r>
              <w:rPr>
                <w:rFonts w:ascii="Sylfaen" w:eastAsia="標楷體" w:hAnsi="Sylfaen"/>
                <w:color w:val="000000"/>
              </w:rPr>
              <w:t>0</w:t>
            </w:r>
            <w:r>
              <w:rPr>
                <w:rFonts w:ascii="Sylfaen" w:eastAsia="標楷體" w:hAnsi="Sylfaen" w:hint="eastAsia"/>
                <w:color w:val="000000"/>
              </w:rPr>
              <w:t>1</w:t>
            </w:r>
          </w:p>
        </w:tc>
      </w:tr>
      <w:tr w:rsidR="004F4ECF" w:rsidRPr="003439C8" w:rsidTr="004F4ECF">
        <w:trPr>
          <w:tblHeader/>
        </w:trPr>
        <w:tc>
          <w:tcPr>
            <w:tcW w:w="1985"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文件名稱</w:t>
            </w:r>
          </w:p>
        </w:tc>
        <w:tc>
          <w:tcPr>
            <w:tcW w:w="2941" w:type="dxa"/>
            <w:vAlign w:val="center"/>
          </w:tcPr>
          <w:p w:rsidR="004F4ECF" w:rsidRPr="003439C8" w:rsidRDefault="004F4ECF" w:rsidP="00040602">
            <w:pPr>
              <w:rPr>
                <w:rFonts w:ascii="Sylfaen" w:eastAsia="標楷體" w:hAnsi="Sylfaen"/>
                <w:bCs/>
                <w:color w:val="000000"/>
              </w:rPr>
            </w:pPr>
            <w:r w:rsidRPr="004F4ECF">
              <w:rPr>
                <w:rFonts w:ascii="Sylfaen" w:eastAsia="標楷體" w:hAnsi="Sylfaen" w:hint="eastAsia"/>
                <w:bCs/>
                <w:color w:val="000000"/>
              </w:rPr>
              <w:t>申請暫停及恢復交易程序</w:t>
            </w:r>
          </w:p>
        </w:tc>
        <w:tc>
          <w:tcPr>
            <w:tcW w:w="1551"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文件編號</w:t>
            </w:r>
          </w:p>
        </w:tc>
        <w:tc>
          <w:tcPr>
            <w:tcW w:w="3021" w:type="dxa"/>
            <w:gridSpan w:val="3"/>
            <w:tcBorders>
              <w:right w:val="single" w:sz="4" w:space="0" w:color="auto"/>
            </w:tcBorders>
            <w:vAlign w:val="center"/>
          </w:tcPr>
          <w:p w:rsidR="004F4ECF" w:rsidRPr="003439C8" w:rsidRDefault="004F4ECF" w:rsidP="00040602">
            <w:pPr>
              <w:rPr>
                <w:rFonts w:ascii="Sylfaen" w:eastAsia="標楷體" w:hAnsi="Sylfaen"/>
                <w:color w:val="000000"/>
              </w:rPr>
            </w:pPr>
            <w:r w:rsidRPr="004F4ECF">
              <w:rPr>
                <w:rFonts w:ascii="Sylfaen" w:eastAsia="標楷體" w:hAnsi="Sylfaen"/>
                <w:color w:val="000000"/>
              </w:rPr>
              <w:t>D-1-L-0004</w:t>
            </w:r>
          </w:p>
        </w:tc>
      </w:tr>
      <w:tr w:rsidR="004F4ECF" w:rsidRPr="003439C8" w:rsidTr="004F4ECF">
        <w:trPr>
          <w:tblHeader/>
        </w:trPr>
        <w:tc>
          <w:tcPr>
            <w:tcW w:w="1985"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制定日期</w:t>
            </w:r>
          </w:p>
        </w:tc>
        <w:tc>
          <w:tcPr>
            <w:tcW w:w="2941" w:type="dxa"/>
            <w:vAlign w:val="center"/>
          </w:tcPr>
          <w:p w:rsidR="004F4ECF" w:rsidRPr="003439C8" w:rsidRDefault="004F4ECF" w:rsidP="00040602">
            <w:pPr>
              <w:rPr>
                <w:rFonts w:ascii="Sylfaen" w:eastAsia="標楷體" w:hAnsi="Sylfaen"/>
                <w:color w:val="000000"/>
              </w:rPr>
            </w:pPr>
            <w:r w:rsidRPr="003439C8">
              <w:rPr>
                <w:rStyle w:val="a3"/>
                <w:rFonts w:ascii="Sylfaen" w:eastAsia="標楷體" w:hAnsi="Sylfaen" w:cs="Arial"/>
                <w:color w:val="000000"/>
              </w:rPr>
              <w:t>民國</w:t>
            </w:r>
            <w:r w:rsidRPr="003439C8">
              <w:rPr>
                <w:rStyle w:val="a3"/>
                <w:rFonts w:ascii="Sylfaen" w:eastAsia="標楷體" w:hAnsi="Sylfaen" w:cs="Arial"/>
                <w:color w:val="000000"/>
              </w:rPr>
              <w:t>104</w:t>
            </w:r>
            <w:r w:rsidRPr="003439C8">
              <w:rPr>
                <w:rStyle w:val="a3"/>
                <w:rFonts w:ascii="Sylfaen" w:eastAsia="標楷體" w:hAnsi="Sylfaen" w:cs="Arial"/>
                <w:color w:val="000000"/>
              </w:rPr>
              <w:t>年</w:t>
            </w:r>
            <w:r>
              <w:rPr>
                <w:rStyle w:val="a3"/>
                <w:rFonts w:ascii="Sylfaen" w:eastAsia="標楷體" w:hAnsi="Sylfaen" w:cs="Arial"/>
                <w:color w:val="000000"/>
              </w:rPr>
              <w:t>12</w:t>
            </w:r>
            <w:r w:rsidRPr="003439C8">
              <w:rPr>
                <w:rStyle w:val="a3"/>
                <w:rFonts w:ascii="Sylfaen" w:eastAsia="標楷體" w:hAnsi="Sylfaen" w:cs="Arial"/>
                <w:color w:val="000000"/>
              </w:rPr>
              <w:t>月</w:t>
            </w:r>
            <w:r>
              <w:rPr>
                <w:rStyle w:val="a3"/>
                <w:rFonts w:ascii="Sylfaen" w:eastAsia="標楷體" w:hAnsi="Sylfaen" w:cs="Arial"/>
                <w:color w:val="000000"/>
              </w:rPr>
              <w:t>25</w:t>
            </w:r>
            <w:r w:rsidRPr="003439C8">
              <w:rPr>
                <w:rStyle w:val="a3"/>
                <w:rFonts w:ascii="Sylfaen" w:eastAsia="標楷體" w:hAnsi="Sylfaen" w:cs="Arial"/>
                <w:color w:val="000000"/>
              </w:rPr>
              <w:t>日</w:t>
            </w:r>
          </w:p>
        </w:tc>
        <w:tc>
          <w:tcPr>
            <w:tcW w:w="1551" w:type="dxa"/>
            <w:vAlign w:val="center"/>
          </w:tcPr>
          <w:p w:rsidR="004F4ECF" w:rsidRPr="003439C8" w:rsidRDefault="004F4ECF" w:rsidP="00040602">
            <w:pPr>
              <w:jc w:val="center"/>
              <w:rPr>
                <w:rFonts w:ascii="Sylfaen" w:eastAsia="標楷體" w:hAnsi="Sylfaen"/>
                <w:color w:val="000000"/>
              </w:rPr>
            </w:pPr>
            <w:r w:rsidRPr="003439C8">
              <w:rPr>
                <w:rFonts w:ascii="Sylfaen" w:eastAsia="標楷體" w:hAnsi="Sylfaen"/>
                <w:color w:val="000000"/>
              </w:rPr>
              <w:t>權責部門</w:t>
            </w:r>
          </w:p>
        </w:tc>
        <w:tc>
          <w:tcPr>
            <w:tcW w:w="3021" w:type="dxa"/>
            <w:gridSpan w:val="3"/>
            <w:tcBorders>
              <w:bottom w:val="single" w:sz="4" w:space="0" w:color="auto"/>
              <w:right w:val="single" w:sz="4" w:space="0" w:color="auto"/>
            </w:tcBorders>
            <w:vAlign w:val="center"/>
          </w:tcPr>
          <w:p w:rsidR="004F4ECF" w:rsidRPr="003439C8" w:rsidRDefault="004F4ECF" w:rsidP="00040602">
            <w:pPr>
              <w:rPr>
                <w:rFonts w:ascii="Sylfaen" w:eastAsia="標楷體" w:hAnsi="Sylfaen"/>
                <w:color w:val="000000"/>
              </w:rPr>
            </w:pPr>
            <w:r w:rsidRPr="004F4ECF">
              <w:rPr>
                <w:rFonts w:ascii="Sylfaen" w:eastAsia="標楷體" w:hAnsi="Sylfaen" w:hint="eastAsia"/>
                <w:color w:val="000000"/>
              </w:rPr>
              <w:t>管理本部</w:t>
            </w:r>
          </w:p>
        </w:tc>
      </w:tr>
      <w:tr w:rsidR="004F4ECF" w:rsidRPr="003439C8" w:rsidTr="004F4ECF">
        <w:tc>
          <w:tcPr>
            <w:tcW w:w="9498" w:type="dxa"/>
            <w:gridSpan w:val="6"/>
            <w:tcBorders>
              <w:top w:val="nil"/>
            </w:tcBorders>
          </w:tcPr>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第一條（訂定依據）</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依臺灣證券交易所股份有限公司</w:t>
            </w:r>
            <w:r w:rsidRPr="004F4ECF">
              <w:rPr>
                <w:rFonts w:ascii="Sylfaen" w:eastAsia="標楷體" w:hAnsi="Sylfaen" w:hint="eastAsia"/>
                <w:sz w:val="24"/>
              </w:rPr>
              <w:t>(</w:t>
            </w:r>
            <w:r w:rsidRPr="004F4ECF">
              <w:rPr>
                <w:rFonts w:ascii="Sylfaen" w:eastAsia="標楷體" w:hAnsi="Sylfaen" w:hint="eastAsia"/>
                <w:sz w:val="24"/>
              </w:rPr>
              <w:t>下稱證交所</w:t>
            </w:r>
            <w:r w:rsidRPr="004F4ECF">
              <w:rPr>
                <w:rFonts w:ascii="Sylfaen" w:eastAsia="標楷體" w:hAnsi="Sylfaen" w:hint="eastAsia"/>
                <w:sz w:val="24"/>
              </w:rPr>
              <w:t>)</w:t>
            </w:r>
            <w:r w:rsidRPr="004F4ECF">
              <w:rPr>
                <w:rFonts w:ascii="Sylfaen" w:eastAsia="標楷體" w:hAnsi="Sylfaen" w:hint="eastAsia"/>
                <w:sz w:val="24"/>
              </w:rPr>
              <w:t>對上市公司重大訊息之查證暨公</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開處理程序</w:t>
            </w:r>
            <w:r w:rsidRPr="004F4ECF">
              <w:rPr>
                <w:rFonts w:ascii="Sylfaen" w:eastAsia="標楷體" w:hAnsi="Sylfaen" w:hint="eastAsia"/>
                <w:sz w:val="24"/>
              </w:rPr>
              <w:t>(</w:t>
            </w:r>
            <w:r w:rsidRPr="004F4ECF">
              <w:rPr>
                <w:rFonts w:ascii="Sylfaen" w:eastAsia="標楷體" w:hAnsi="Sylfaen" w:hint="eastAsia"/>
                <w:sz w:val="24"/>
              </w:rPr>
              <w:t>下稱「處理程序」</w:t>
            </w:r>
            <w:r w:rsidRPr="004F4ECF">
              <w:rPr>
                <w:rFonts w:ascii="Sylfaen" w:eastAsia="標楷體" w:hAnsi="Sylfaen" w:hint="eastAsia"/>
                <w:sz w:val="24"/>
              </w:rPr>
              <w:t>)</w:t>
            </w:r>
            <w:r w:rsidRPr="004F4ECF">
              <w:rPr>
                <w:rFonts w:ascii="Sylfaen" w:eastAsia="標楷體" w:hAnsi="Sylfaen" w:hint="eastAsia"/>
                <w:sz w:val="24"/>
              </w:rPr>
              <w:t>第十三條之四第一項規定，特制定本作業程序，</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以資遵循。</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第二條（本作業程序之目的）</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本公司為踐行重大訊息保密與即時揭露機制，於營業日下午五時前公開或召開董</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事會決議特定重大事項時，為使發生或公告之重大訊息有充裕時間廣泛公開，應</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主動向證交所申請暫停交易，提供投資人訊息消化時間，降低資訊不對稱，並於</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相關訊息充分公開或說明後，申請恢復交易。</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第三條（法令遵循）</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本公司申請暫停及恢復交易作業程序，應依證交所相關規章及本作業程序辦理。</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sz w:val="24"/>
              </w:rPr>
            </w:pPr>
            <w:r w:rsidRPr="004F4ECF">
              <w:rPr>
                <w:rFonts w:ascii="Sylfaen" w:eastAsia="標楷體" w:hAnsi="Sylfaen" w:hint="eastAsia"/>
                <w:b/>
                <w:sz w:val="24"/>
              </w:rPr>
              <w:t>第四條（處理暫停及恢復交易單位</w:t>
            </w:r>
            <w:r w:rsidRPr="004F4ECF">
              <w:rPr>
                <w:rFonts w:ascii="Sylfaen" w:eastAsia="標楷體" w:hAnsi="Sylfaen" w:hint="eastAsia"/>
                <w:sz w:val="24"/>
              </w:rPr>
              <w:t>）</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本公司處理暫停及恢復交易之單位為管理本部。</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管理本部應隨時注意本公司有無第五條應主動申請暫停或恢復交易之情事，倘本</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公司有前開情事，應主動申請之，並為利作業順暢運作，應與證交所服務同仁保</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持雙向溝通管道。</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第五條（申請暫停及恢復交易）</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本公司預計於營業日下午五時前公開或召開董事會決議有「處理程序」第十三條</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之一第一項各款情事者，應於公開或召開前一營業日主動向證交所申請暫停交</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易。</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本公司有價證券經證交所暫停交易者，本公司如已將暫停交易事由之相關訊息完</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整說明或已無繼續暫停交易之必要時，應主動向證交所申請恢復交易。</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第六條（申請暫停交易程序及最終核決層級）</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本公司於準備董事會議案或公告重大訊息前，管理本部應注意有無前條應申請暫</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停交易事項，倘發生前條之情事並經妥善評估該等事項符合重大性者，應於公開</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或召開董事會決議前一營業日，檢附相關證明文件，填具「暫停交易申請書」</w:t>
            </w:r>
            <w:r w:rsidRPr="004F4ECF">
              <w:rPr>
                <w:rFonts w:ascii="Sylfaen" w:eastAsia="標楷體" w:hAnsi="Sylfaen" w:hint="eastAsia"/>
                <w:sz w:val="24"/>
              </w:rPr>
              <w:t>(</w:t>
            </w:r>
            <w:r w:rsidRPr="004F4ECF">
              <w:rPr>
                <w:rFonts w:ascii="Sylfaen" w:eastAsia="標楷體" w:hAnsi="Sylfaen" w:hint="eastAsia"/>
                <w:sz w:val="24"/>
              </w:rPr>
              <w:t>附</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表一</w:t>
            </w:r>
            <w:r w:rsidRPr="004F4ECF">
              <w:rPr>
                <w:rFonts w:ascii="Sylfaen" w:eastAsia="標楷體" w:hAnsi="Sylfaen" w:hint="eastAsia"/>
                <w:sz w:val="24"/>
              </w:rPr>
              <w:t>)</w:t>
            </w:r>
            <w:r w:rsidRPr="004F4ECF">
              <w:rPr>
                <w:rFonts w:ascii="Sylfaen" w:eastAsia="標楷體" w:hAnsi="Sylfaen" w:hint="eastAsia"/>
                <w:sz w:val="24"/>
              </w:rPr>
              <w:t>，並經總經理核決後，加蓋公司及負責人印章，傳真至證交所申請暫停交</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易，並同時以電子郵件寄送及電話方式，通知證交所及告知本公司聯絡人員姓名</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與電話。</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本公司倘因「情事緊急」致無法於公開或召開董事會決議前一營業日內申請者，</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得於公開或召開之營業日上午</w:t>
            </w:r>
            <w:r w:rsidRPr="004A4C67">
              <w:rPr>
                <w:rFonts w:ascii="Sylfaen" w:eastAsia="標楷體" w:hAnsi="Sylfaen" w:hint="eastAsia"/>
                <w:b/>
                <w:color w:val="FF0000"/>
                <w:sz w:val="24"/>
                <w:u w:val="single"/>
              </w:rPr>
              <w:t>七時</w:t>
            </w:r>
            <w:r w:rsidRPr="004F4ECF">
              <w:rPr>
                <w:rFonts w:ascii="Sylfaen" w:eastAsia="標楷體" w:hAnsi="Sylfaen" w:hint="eastAsia"/>
                <w:sz w:val="24"/>
              </w:rPr>
              <w:t>前向證交所申請，並提供符合「情事緊</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急」要件佐證資料，俾供證交所查證用。</w:t>
            </w:r>
          </w:p>
          <w:p w:rsidR="004F4ECF" w:rsidRPr="00EA0F1C" w:rsidRDefault="004F4ECF" w:rsidP="004F4ECF">
            <w:pPr>
              <w:pStyle w:val="a4"/>
              <w:spacing w:line="300" w:lineRule="exact"/>
              <w:ind w:leftChars="368" w:left="1099" w:rightChars="45" w:right="108" w:hanging="216"/>
              <w:rPr>
                <w:rFonts w:ascii="Sylfaen" w:eastAsia="標楷體" w:hAnsi="Sylfaen"/>
                <w:strike/>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第七條（申請恢復交易程序及最終核決層級）</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本公司應按董事會決議結果或依事實狀況，依處理程序規定辦理資訊公開作業</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lastRenderedPageBreak/>
              <w:t>後，檢附相關證明文件，填具「恢復交易申請書」</w:t>
            </w:r>
            <w:r w:rsidRPr="004F4ECF">
              <w:rPr>
                <w:rFonts w:ascii="Sylfaen" w:eastAsia="標楷體" w:hAnsi="Sylfaen" w:hint="eastAsia"/>
                <w:sz w:val="24"/>
              </w:rPr>
              <w:t>(</w:t>
            </w:r>
            <w:r w:rsidRPr="004F4ECF">
              <w:rPr>
                <w:rFonts w:ascii="Sylfaen" w:eastAsia="標楷體" w:hAnsi="Sylfaen" w:hint="eastAsia"/>
                <w:sz w:val="24"/>
              </w:rPr>
              <w:t>附表二</w:t>
            </w:r>
            <w:r w:rsidRPr="004F4ECF">
              <w:rPr>
                <w:rFonts w:ascii="Sylfaen" w:eastAsia="標楷體" w:hAnsi="Sylfaen" w:hint="eastAsia"/>
                <w:sz w:val="24"/>
              </w:rPr>
              <w:t>)</w:t>
            </w:r>
            <w:r w:rsidRPr="004F4ECF">
              <w:rPr>
                <w:rFonts w:ascii="Sylfaen" w:eastAsia="標楷體" w:hAnsi="Sylfaen" w:hint="eastAsia"/>
                <w:sz w:val="24"/>
              </w:rPr>
              <w:t>，並經總經理核決後，</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加蓋公司及負責人印章，傳真至證交所申請恢復交易，並同時以電子郵件寄送及</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電話方式，通知證交所及告知本公司聯絡人員姓名與電話。</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第八條（公告申報及資訊揭露原則）</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本公司於申請暫停交易過程及該案相關資訊公開前，本公司之董事、經理人及受</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僱人等獲悉內部重大資訊之人，應遵守本公司之內部重大資訊處理暨防範內線交</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易管理作業程序相關規定，踐行保密機制，另對外揭露重大資訊則應秉持下列原</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則：</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一、資訊之揭露應正確、完整且即時。</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二、資訊之揭露應有依據。</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三、資訊應公平揭露。</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第九條（公告申報及資訊揭露時點）</w:t>
            </w:r>
          </w:p>
          <w:p w:rsid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證交所於基本市況報導網站</w:t>
            </w:r>
            <w:r w:rsidRPr="004F4ECF">
              <w:rPr>
                <w:rFonts w:ascii="Sylfaen" w:eastAsia="標楷體" w:hAnsi="Sylfaen" w:hint="eastAsia"/>
                <w:sz w:val="24"/>
              </w:rPr>
              <w:t>(http://mis.twse.com.tw/)</w:t>
            </w:r>
            <w:r w:rsidRPr="004F4ECF">
              <w:rPr>
                <w:rFonts w:ascii="Sylfaen" w:eastAsia="標楷體" w:hAnsi="Sylfaen" w:hint="eastAsia"/>
                <w:sz w:val="24"/>
              </w:rPr>
              <w:t>公告暫停或恢復交易資訊</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後，本公司應於一小時內發布暫停或恢復交易之重大訊息。</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第十條（董事會決議通過及修正）</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本作業程序經董事會通過後實施，修正時亦同。</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p>
          <w:p w:rsidR="004F4ECF" w:rsidRPr="004F4ECF" w:rsidRDefault="004F4ECF" w:rsidP="004F4ECF">
            <w:pPr>
              <w:pStyle w:val="a4"/>
              <w:spacing w:line="300" w:lineRule="exact"/>
              <w:ind w:leftChars="0" w:left="0" w:rightChars="45" w:right="108" w:firstLineChars="0" w:firstLine="0"/>
              <w:rPr>
                <w:rFonts w:ascii="Sylfaen" w:eastAsia="標楷體" w:hAnsi="Sylfaen"/>
                <w:b/>
                <w:sz w:val="24"/>
              </w:rPr>
            </w:pPr>
            <w:r w:rsidRPr="004F4ECF">
              <w:rPr>
                <w:rFonts w:ascii="Sylfaen" w:eastAsia="標楷體" w:hAnsi="Sylfaen" w:hint="eastAsia"/>
                <w:b/>
                <w:sz w:val="24"/>
              </w:rPr>
              <w:t>第十一條</w:t>
            </w:r>
          </w:p>
          <w:p w:rsidR="004F4ECF" w:rsidRPr="004F4ECF" w:rsidRDefault="004F4ECF" w:rsidP="004F4ECF">
            <w:pPr>
              <w:pStyle w:val="a4"/>
              <w:spacing w:line="300" w:lineRule="exact"/>
              <w:ind w:leftChars="368" w:left="1099" w:rightChars="45" w:right="108" w:hanging="216"/>
              <w:rPr>
                <w:rFonts w:ascii="Sylfaen" w:eastAsia="標楷體" w:hAnsi="Sylfaen"/>
                <w:sz w:val="24"/>
              </w:rPr>
            </w:pPr>
            <w:r w:rsidRPr="004F4ECF">
              <w:rPr>
                <w:rFonts w:ascii="Sylfaen" w:eastAsia="標楷體" w:hAnsi="Sylfaen" w:hint="eastAsia"/>
                <w:sz w:val="24"/>
              </w:rPr>
              <w:t>本作業程序於民國</w:t>
            </w:r>
            <w:r w:rsidRPr="004F4ECF">
              <w:rPr>
                <w:rFonts w:ascii="Sylfaen" w:eastAsia="標楷體" w:hAnsi="Sylfaen" w:hint="eastAsia"/>
                <w:sz w:val="24"/>
              </w:rPr>
              <w:t>104</w:t>
            </w:r>
            <w:r w:rsidRPr="004F4ECF">
              <w:rPr>
                <w:rFonts w:ascii="Sylfaen" w:eastAsia="標楷體" w:hAnsi="Sylfaen" w:hint="eastAsia"/>
                <w:sz w:val="24"/>
              </w:rPr>
              <w:t>年</w:t>
            </w:r>
            <w:r w:rsidRPr="004F4ECF">
              <w:rPr>
                <w:rFonts w:ascii="Sylfaen" w:eastAsia="標楷體" w:hAnsi="Sylfaen" w:hint="eastAsia"/>
                <w:sz w:val="24"/>
              </w:rPr>
              <w:t>12</w:t>
            </w:r>
            <w:r w:rsidRPr="004F4ECF">
              <w:rPr>
                <w:rFonts w:ascii="Sylfaen" w:eastAsia="標楷體" w:hAnsi="Sylfaen" w:hint="eastAsia"/>
                <w:sz w:val="24"/>
              </w:rPr>
              <w:t>月</w:t>
            </w:r>
            <w:r w:rsidRPr="004F4ECF">
              <w:rPr>
                <w:rFonts w:ascii="Sylfaen" w:eastAsia="標楷體" w:hAnsi="Sylfaen" w:hint="eastAsia"/>
                <w:sz w:val="24"/>
              </w:rPr>
              <w:t>25</w:t>
            </w:r>
            <w:r w:rsidRPr="004F4ECF">
              <w:rPr>
                <w:rFonts w:ascii="Sylfaen" w:eastAsia="標楷體" w:hAnsi="Sylfaen" w:hint="eastAsia"/>
                <w:sz w:val="24"/>
              </w:rPr>
              <w:t>日經董事會同意施行。</w:t>
            </w:r>
          </w:p>
          <w:p w:rsidR="004F4ECF" w:rsidRPr="004A4C67" w:rsidRDefault="00183FD4" w:rsidP="004F4ECF">
            <w:pPr>
              <w:pStyle w:val="a4"/>
              <w:spacing w:line="300" w:lineRule="exact"/>
              <w:ind w:leftChars="368" w:left="883" w:rightChars="45" w:right="108" w:firstLineChars="0" w:firstLine="1"/>
              <w:rPr>
                <w:rFonts w:ascii="標楷體" w:eastAsia="標楷體" w:hAnsi="標楷體" w:cs="Times New Roman"/>
                <w:b/>
                <w:bCs/>
                <w:color w:val="FF0000"/>
                <w:sz w:val="24"/>
                <w:u w:val="single"/>
              </w:rPr>
            </w:pPr>
            <w:r w:rsidRPr="004A4C67">
              <w:rPr>
                <w:rFonts w:ascii="標楷體" w:eastAsia="標楷體" w:hAnsi="標楷體" w:cs="Times New Roman"/>
                <w:b/>
                <w:bCs/>
                <w:color w:val="FF0000"/>
                <w:sz w:val="24"/>
                <w:u w:val="single"/>
              </w:rPr>
              <w:t>本作業程序於民國105年12月</w:t>
            </w:r>
            <w:r w:rsidR="00EA0F1C" w:rsidRPr="004A4C67">
              <w:rPr>
                <w:rFonts w:ascii="標楷體" w:eastAsia="標楷體" w:hAnsi="標楷體" w:cs="Times New Roman"/>
                <w:b/>
                <w:bCs/>
                <w:color w:val="FF0000"/>
                <w:sz w:val="24"/>
                <w:u w:val="single"/>
              </w:rPr>
              <w:t>27</w:t>
            </w:r>
            <w:r w:rsidRPr="004A4C67">
              <w:rPr>
                <w:rFonts w:ascii="標楷體" w:eastAsia="標楷體" w:hAnsi="標楷體" w:cs="Times New Roman"/>
                <w:b/>
                <w:bCs/>
                <w:color w:val="FF0000"/>
                <w:sz w:val="24"/>
                <w:u w:val="single"/>
              </w:rPr>
              <w:t>日第一次修訂</w:t>
            </w:r>
            <w:r w:rsidRPr="004A4C67">
              <w:rPr>
                <w:rFonts w:ascii="標楷體" w:eastAsia="標楷體" w:hAnsi="標楷體" w:cs="Times New Roman" w:hint="eastAsia"/>
                <w:b/>
                <w:bCs/>
                <w:color w:val="FF0000"/>
                <w:sz w:val="24"/>
                <w:u w:val="single"/>
              </w:rPr>
              <w:t>。</w:t>
            </w:r>
          </w:p>
          <w:p w:rsidR="00183FD4" w:rsidRPr="00183FD4" w:rsidRDefault="00183FD4" w:rsidP="004F4ECF">
            <w:pPr>
              <w:pStyle w:val="a4"/>
              <w:spacing w:line="300" w:lineRule="exact"/>
              <w:ind w:leftChars="368" w:left="883" w:rightChars="45" w:right="108" w:firstLineChars="0" w:firstLine="1"/>
              <w:rPr>
                <w:rFonts w:ascii="Sylfaen" w:eastAsia="標楷體" w:hAnsi="Sylfaen"/>
                <w:color w:val="0000FF"/>
              </w:rPr>
            </w:pPr>
          </w:p>
        </w:tc>
      </w:tr>
    </w:tbl>
    <w:p w:rsidR="00513630" w:rsidRPr="004F4ECF" w:rsidRDefault="00513630" w:rsidP="004F4ECF">
      <w:pPr>
        <w:ind w:leftChars="-177" w:left="-425" w:rightChars="-319" w:right="-766"/>
      </w:pPr>
      <w:bookmarkStart w:id="0" w:name="_GoBack"/>
      <w:bookmarkEnd w:id="0"/>
    </w:p>
    <w:sectPr w:rsidR="00513630" w:rsidRPr="004F4E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50" w:rsidRDefault="00CA7350" w:rsidP="00183FD4">
      <w:r>
        <w:separator/>
      </w:r>
    </w:p>
  </w:endnote>
  <w:endnote w:type="continuationSeparator" w:id="0">
    <w:p w:rsidR="00CA7350" w:rsidRDefault="00CA7350" w:rsidP="0018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50" w:rsidRDefault="00CA7350" w:rsidP="00183FD4">
      <w:r>
        <w:separator/>
      </w:r>
    </w:p>
  </w:footnote>
  <w:footnote w:type="continuationSeparator" w:id="0">
    <w:p w:rsidR="00CA7350" w:rsidRDefault="00CA7350" w:rsidP="0018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CF"/>
    <w:rsid w:val="00183FD4"/>
    <w:rsid w:val="00364D01"/>
    <w:rsid w:val="004A4C67"/>
    <w:rsid w:val="004F4ECF"/>
    <w:rsid w:val="00513630"/>
    <w:rsid w:val="00803F9D"/>
    <w:rsid w:val="00CA7350"/>
    <w:rsid w:val="00EA0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C35340-9D6D-4142-AAF2-C6FE775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F4ECF"/>
  </w:style>
  <w:style w:type="paragraph" w:styleId="a4">
    <w:name w:val="Body Text Indent"/>
    <w:basedOn w:val="a"/>
    <w:link w:val="a5"/>
    <w:rsid w:val="004F4ECF"/>
    <w:pPr>
      <w:ind w:leftChars="263" w:left="811" w:hangingChars="90" w:hanging="180"/>
      <w:jc w:val="both"/>
    </w:pPr>
    <w:rPr>
      <w:rFonts w:ascii="Arial" w:eastAsia="新細明體" w:hAnsi="Arial" w:cs="Arial"/>
      <w:sz w:val="20"/>
      <w:szCs w:val="24"/>
    </w:rPr>
  </w:style>
  <w:style w:type="character" w:customStyle="1" w:styleId="a5">
    <w:name w:val="本文縮排 字元"/>
    <w:basedOn w:val="a0"/>
    <w:link w:val="a4"/>
    <w:rsid w:val="004F4ECF"/>
    <w:rPr>
      <w:rFonts w:ascii="Arial" w:eastAsia="新細明體" w:hAnsi="Arial" w:cs="Arial"/>
      <w:sz w:val="20"/>
      <w:szCs w:val="24"/>
    </w:rPr>
  </w:style>
  <w:style w:type="paragraph" w:styleId="a6">
    <w:name w:val="header"/>
    <w:basedOn w:val="a"/>
    <w:link w:val="a7"/>
    <w:uiPriority w:val="99"/>
    <w:unhideWhenUsed/>
    <w:rsid w:val="00183FD4"/>
    <w:pPr>
      <w:tabs>
        <w:tab w:val="center" w:pos="4153"/>
        <w:tab w:val="right" w:pos="8306"/>
      </w:tabs>
      <w:snapToGrid w:val="0"/>
    </w:pPr>
    <w:rPr>
      <w:sz w:val="20"/>
      <w:szCs w:val="20"/>
    </w:rPr>
  </w:style>
  <w:style w:type="character" w:customStyle="1" w:styleId="a7">
    <w:name w:val="頁首 字元"/>
    <w:basedOn w:val="a0"/>
    <w:link w:val="a6"/>
    <w:uiPriority w:val="99"/>
    <w:rsid w:val="00183FD4"/>
    <w:rPr>
      <w:sz w:val="20"/>
      <w:szCs w:val="20"/>
    </w:rPr>
  </w:style>
  <w:style w:type="paragraph" w:styleId="a8">
    <w:name w:val="footer"/>
    <w:basedOn w:val="a"/>
    <w:link w:val="a9"/>
    <w:uiPriority w:val="99"/>
    <w:unhideWhenUsed/>
    <w:rsid w:val="00183FD4"/>
    <w:pPr>
      <w:tabs>
        <w:tab w:val="center" w:pos="4153"/>
        <w:tab w:val="right" w:pos="8306"/>
      </w:tabs>
      <w:snapToGrid w:val="0"/>
    </w:pPr>
    <w:rPr>
      <w:sz w:val="20"/>
      <w:szCs w:val="20"/>
    </w:rPr>
  </w:style>
  <w:style w:type="character" w:customStyle="1" w:styleId="a9">
    <w:name w:val="頁尾 字元"/>
    <w:basedOn w:val="a0"/>
    <w:link w:val="a8"/>
    <w:uiPriority w:val="99"/>
    <w:rsid w:val="00183F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Pelican</dc:creator>
  <cp:keywords/>
  <dc:description/>
  <cp:lastModifiedBy>Pelican</cp:lastModifiedBy>
  <cp:revision>2</cp:revision>
  <dcterms:created xsi:type="dcterms:W3CDTF">2017-03-06T07:06:00Z</dcterms:created>
  <dcterms:modified xsi:type="dcterms:W3CDTF">2017-03-06T07:06:00Z</dcterms:modified>
</cp:coreProperties>
</file>